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C89D" w14:textId="77777777" w:rsidR="006270A1" w:rsidRDefault="006270A1" w:rsidP="0079781B">
      <w:pPr>
        <w:spacing w:line="320" w:lineRule="exact"/>
        <w:jc w:val="center"/>
        <w:rPr>
          <w:rFonts w:asciiTheme="minorHAnsi" w:hAnsiTheme="minorHAnsi" w:cs="Calibri"/>
          <w:b/>
          <w:bCs/>
          <w:caps/>
        </w:rPr>
      </w:pPr>
    </w:p>
    <w:p w14:paraId="4B0D0DF3" w14:textId="77777777" w:rsidR="006270A1" w:rsidRPr="006270A1" w:rsidRDefault="006270A1" w:rsidP="0079781B">
      <w:pPr>
        <w:spacing w:line="320" w:lineRule="exact"/>
        <w:jc w:val="center"/>
        <w:rPr>
          <w:rFonts w:cs="Calibri"/>
          <w:b/>
          <w:bCs/>
          <w:caps/>
          <w:sz w:val="24"/>
          <w:szCs w:val="24"/>
        </w:rPr>
      </w:pPr>
    </w:p>
    <w:p w14:paraId="2F2E6F25" w14:textId="306919BC" w:rsidR="00AB673C" w:rsidRPr="006270A1" w:rsidRDefault="00AB673C" w:rsidP="0079781B">
      <w:pPr>
        <w:spacing w:line="320" w:lineRule="exact"/>
        <w:jc w:val="center"/>
        <w:rPr>
          <w:rFonts w:cs="Calibri"/>
          <w:b/>
          <w:bCs/>
          <w:caps/>
          <w:sz w:val="24"/>
          <w:szCs w:val="24"/>
        </w:rPr>
      </w:pPr>
      <w:r w:rsidRPr="006270A1">
        <w:rPr>
          <w:rFonts w:cs="Calibri"/>
          <w:b/>
          <w:bCs/>
          <w:caps/>
          <w:sz w:val="24"/>
          <w:szCs w:val="24"/>
        </w:rPr>
        <w:t>ArrêtÉ Portant Attribution Individuelle</w:t>
      </w:r>
    </w:p>
    <w:p w14:paraId="236AA733" w14:textId="77777777" w:rsidR="0079781B" w:rsidRPr="006270A1" w:rsidRDefault="0079781B" w:rsidP="0079781B">
      <w:pPr>
        <w:spacing w:before="120" w:line="320" w:lineRule="exact"/>
        <w:jc w:val="center"/>
        <w:rPr>
          <w:rFonts w:cs="Calibri"/>
          <w:b/>
          <w:bCs/>
          <w:caps/>
          <w:sz w:val="24"/>
          <w:szCs w:val="24"/>
        </w:rPr>
      </w:pPr>
      <w:r w:rsidRPr="006270A1">
        <w:rPr>
          <w:rFonts w:cs="Calibri"/>
          <w:b/>
          <w:bCs/>
          <w:caps/>
          <w:sz w:val="24"/>
          <w:szCs w:val="24"/>
        </w:rPr>
        <w:t xml:space="preserve">de la </w:t>
      </w:r>
      <w:r w:rsidR="00AB673C" w:rsidRPr="006270A1">
        <w:rPr>
          <w:rFonts w:cs="Calibri"/>
          <w:b/>
          <w:bCs/>
          <w:caps/>
          <w:sz w:val="24"/>
          <w:szCs w:val="24"/>
        </w:rPr>
        <w:t>Nou</w:t>
      </w:r>
      <w:r w:rsidRPr="006270A1">
        <w:rPr>
          <w:rFonts w:cs="Calibri"/>
          <w:b/>
          <w:bCs/>
          <w:caps/>
          <w:sz w:val="24"/>
          <w:szCs w:val="24"/>
        </w:rPr>
        <w:t xml:space="preserve">velle Bonification Indiciaire </w:t>
      </w:r>
    </w:p>
    <w:p w14:paraId="1459D8FF" w14:textId="77777777" w:rsidR="00F03151" w:rsidRPr="006270A1" w:rsidRDefault="00F03151" w:rsidP="0090445A">
      <w:pPr>
        <w:spacing w:after="100"/>
        <w:rPr>
          <w:rFonts w:cs="Calibri"/>
          <w:sz w:val="24"/>
          <w:szCs w:val="24"/>
        </w:rPr>
      </w:pPr>
    </w:p>
    <w:p w14:paraId="55E66410" w14:textId="78486D7A" w:rsidR="00AB673C" w:rsidRPr="006270A1" w:rsidRDefault="009753FD" w:rsidP="0090445A">
      <w:pPr>
        <w:spacing w:after="100"/>
        <w:rPr>
          <w:rFonts w:cs="Calibri"/>
          <w:i/>
          <w:iCs/>
          <w:sz w:val="24"/>
          <w:szCs w:val="24"/>
        </w:rPr>
      </w:pPr>
      <w:r w:rsidRPr="006270A1">
        <w:rPr>
          <w:rFonts w:cs="Calibri"/>
          <w:sz w:val="24"/>
          <w:szCs w:val="24"/>
        </w:rPr>
        <w:t xml:space="preserve">Le </w:t>
      </w:r>
      <w:r w:rsidRPr="006270A1">
        <w:rPr>
          <w:rFonts w:cs="Calibri"/>
          <w:i/>
          <w:iCs/>
          <w:sz w:val="24"/>
          <w:szCs w:val="24"/>
        </w:rPr>
        <w:t>Maire</w:t>
      </w:r>
      <w:r w:rsidR="006270A1" w:rsidRPr="006270A1">
        <w:rPr>
          <w:rFonts w:cs="Calibri"/>
          <w:i/>
          <w:iCs/>
          <w:sz w:val="24"/>
          <w:szCs w:val="24"/>
        </w:rPr>
        <w:t>, Le Président</w:t>
      </w:r>
    </w:p>
    <w:p w14:paraId="4440741C" w14:textId="77777777" w:rsidR="006270A1" w:rsidRPr="006270A1" w:rsidRDefault="006270A1" w:rsidP="0090445A">
      <w:pPr>
        <w:spacing w:after="100"/>
        <w:rPr>
          <w:rFonts w:cs="Calibri"/>
          <w:sz w:val="24"/>
          <w:szCs w:val="24"/>
        </w:rPr>
      </w:pPr>
    </w:p>
    <w:p w14:paraId="32C0F82F" w14:textId="398CA057" w:rsidR="006270A1" w:rsidRPr="006270A1" w:rsidRDefault="006270A1" w:rsidP="006270A1">
      <w:pPr>
        <w:spacing w:after="100"/>
        <w:jc w:val="center"/>
        <w:rPr>
          <w:rFonts w:cs="Calibri"/>
          <w:b/>
          <w:bCs/>
          <w:sz w:val="24"/>
          <w:szCs w:val="24"/>
        </w:rPr>
      </w:pPr>
      <w:r w:rsidRPr="006270A1">
        <w:rPr>
          <w:rFonts w:cs="Calibri"/>
          <w:b/>
          <w:bCs/>
          <w:sz w:val="24"/>
          <w:szCs w:val="24"/>
        </w:rPr>
        <w:t>VU</w:t>
      </w:r>
    </w:p>
    <w:p w14:paraId="02998F37" w14:textId="4EDCF626" w:rsidR="009753FD" w:rsidRPr="006270A1" w:rsidRDefault="009753FD" w:rsidP="006270A1">
      <w:pPr>
        <w:pStyle w:val="Paragraphedeliste"/>
        <w:numPr>
          <w:ilvl w:val="0"/>
          <w:numId w:val="3"/>
        </w:numPr>
        <w:tabs>
          <w:tab w:val="left" w:pos="284"/>
        </w:tabs>
        <w:spacing w:after="100"/>
        <w:ind w:left="0" w:hanging="142"/>
        <w:rPr>
          <w:rFonts w:cs="Calibri"/>
          <w:sz w:val="24"/>
          <w:szCs w:val="24"/>
        </w:rPr>
      </w:pPr>
      <w:proofErr w:type="gramStart"/>
      <w:r w:rsidRPr="006270A1">
        <w:rPr>
          <w:rFonts w:cs="Calibri"/>
          <w:sz w:val="24"/>
          <w:szCs w:val="24"/>
        </w:rPr>
        <w:t>le</w:t>
      </w:r>
      <w:proofErr w:type="gramEnd"/>
      <w:r w:rsidRPr="006270A1">
        <w:rPr>
          <w:rFonts w:cs="Calibri"/>
          <w:sz w:val="24"/>
          <w:szCs w:val="24"/>
        </w:rPr>
        <w:t xml:space="preserve"> code général des collectivités territoriales,</w:t>
      </w:r>
    </w:p>
    <w:p w14:paraId="5817EF05" w14:textId="0DDBE59A" w:rsidR="00AB673C" w:rsidRPr="006270A1" w:rsidRDefault="002D1034" w:rsidP="006270A1">
      <w:pPr>
        <w:pStyle w:val="Paragraphedeliste"/>
        <w:numPr>
          <w:ilvl w:val="0"/>
          <w:numId w:val="3"/>
        </w:numPr>
        <w:tabs>
          <w:tab w:val="left" w:pos="284"/>
        </w:tabs>
        <w:spacing w:after="100"/>
        <w:ind w:left="0" w:hanging="142"/>
        <w:jc w:val="both"/>
        <w:rPr>
          <w:rFonts w:cs="Calibri"/>
          <w:sz w:val="24"/>
          <w:szCs w:val="24"/>
        </w:rPr>
      </w:pPr>
      <w:proofErr w:type="gramStart"/>
      <w:r w:rsidRPr="006270A1">
        <w:rPr>
          <w:rFonts w:cs="Calibri"/>
          <w:sz w:val="24"/>
          <w:szCs w:val="24"/>
        </w:rPr>
        <w:t>le</w:t>
      </w:r>
      <w:proofErr w:type="gramEnd"/>
      <w:r w:rsidRPr="006270A1">
        <w:rPr>
          <w:rFonts w:cs="Calibri"/>
          <w:sz w:val="24"/>
          <w:szCs w:val="24"/>
        </w:rPr>
        <w:t xml:space="preserve"> code général de la fonction publique,</w:t>
      </w:r>
    </w:p>
    <w:p w14:paraId="29397BF2" w14:textId="4803F799" w:rsidR="003A5C5D" w:rsidRPr="006270A1" w:rsidRDefault="003A5C5D" w:rsidP="006270A1">
      <w:pPr>
        <w:pStyle w:val="Paragraphedeliste"/>
        <w:numPr>
          <w:ilvl w:val="0"/>
          <w:numId w:val="3"/>
        </w:numPr>
        <w:tabs>
          <w:tab w:val="left" w:pos="284"/>
        </w:tabs>
        <w:spacing w:after="100"/>
        <w:ind w:left="0" w:hanging="142"/>
        <w:jc w:val="both"/>
        <w:rPr>
          <w:rFonts w:cs="Calibri"/>
          <w:bCs/>
          <w:i/>
          <w:iCs/>
          <w:sz w:val="24"/>
          <w:szCs w:val="24"/>
        </w:rPr>
      </w:pPr>
      <w:r w:rsidRPr="006270A1">
        <w:rPr>
          <w:rFonts w:cs="Calibri"/>
          <w:bCs/>
          <w:i/>
          <w:iCs/>
          <w:color w:val="FF0000"/>
          <w:sz w:val="24"/>
          <w:szCs w:val="24"/>
        </w:rPr>
        <w:t>(Le cas échéant)</w:t>
      </w:r>
      <w:r w:rsidRPr="006270A1">
        <w:rPr>
          <w:rFonts w:cs="Calibri"/>
          <w:bCs/>
          <w:i/>
          <w:iCs/>
          <w:sz w:val="24"/>
          <w:szCs w:val="24"/>
        </w:rPr>
        <w:t xml:space="preserve"> le décret n° 91.298 du 20 mars 1991 portant dispositions statutaires applicables aux fonctionnaires territoriaux nommés dans des emplois permanents à temps non complet,</w:t>
      </w:r>
    </w:p>
    <w:p w14:paraId="1D54B753" w14:textId="5B3E7A54" w:rsidR="009753FD" w:rsidRPr="006270A1" w:rsidRDefault="009753FD" w:rsidP="006270A1">
      <w:pPr>
        <w:pStyle w:val="Paragraphedeliste"/>
        <w:numPr>
          <w:ilvl w:val="0"/>
          <w:numId w:val="3"/>
        </w:numPr>
        <w:tabs>
          <w:tab w:val="left" w:pos="284"/>
        </w:tabs>
        <w:spacing w:after="100"/>
        <w:ind w:left="0" w:hanging="142"/>
        <w:jc w:val="both"/>
        <w:rPr>
          <w:rFonts w:cs="Calibri"/>
          <w:sz w:val="24"/>
          <w:szCs w:val="24"/>
        </w:rPr>
      </w:pPr>
      <w:proofErr w:type="gramStart"/>
      <w:r w:rsidRPr="006270A1">
        <w:rPr>
          <w:rFonts w:cs="Calibri"/>
          <w:sz w:val="24"/>
          <w:szCs w:val="24"/>
        </w:rPr>
        <w:t>le</w:t>
      </w:r>
      <w:proofErr w:type="gramEnd"/>
      <w:r w:rsidRPr="006270A1">
        <w:rPr>
          <w:rFonts w:cs="Calibri"/>
          <w:sz w:val="24"/>
          <w:szCs w:val="24"/>
        </w:rPr>
        <w:t xml:space="preserve"> décret 93</w:t>
      </w:r>
      <w:r w:rsidR="002D1034" w:rsidRPr="006270A1">
        <w:rPr>
          <w:rFonts w:cs="Calibri"/>
          <w:sz w:val="24"/>
          <w:szCs w:val="24"/>
        </w:rPr>
        <w:t>-</w:t>
      </w:r>
      <w:r w:rsidRPr="006270A1">
        <w:rPr>
          <w:rFonts w:cs="Calibri"/>
          <w:sz w:val="24"/>
          <w:szCs w:val="24"/>
        </w:rPr>
        <w:t>863 du 18 juin 1993 modifié relatif aux conditions de mise en œuvre de la NBI dans la Fonction Publique Territoriale,</w:t>
      </w:r>
    </w:p>
    <w:p w14:paraId="5609BEC5" w14:textId="06E7C8E1" w:rsidR="009753FD" w:rsidRPr="006270A1" w:rsidRDefault="00AB673C" w:rsidP="006270A1">
      <w:pPr>
        <w:pStyle w:val="Paragraphedeliste"/>
        <w:numPr>
          <w:ilvl w:val="0"/>
          <w:numId w:val="3"/>
        </w:numPr>
        <w:tabs>
          <w:tab w:val="left" w:pos="284"/>
        </w:tabs>
        <w:spacing w:after="100"/>
        <w:ind w:left="0" w:hanging="142"/>
        <w:jc w:val="both"/>
        <w:rPr>
          <w:rFonts w:cs="Calibri"/>
          <w:sz w:val="24"/>
          <w:szCs w:val="24"/>
        </w:rPr>
      </w:pPr>
      <w:proofErr w:type="gramStart"/>
      <w:r w:rsidRPr="006270A1">
        <w:rPr>
          <w:rFonts w:cs="Calibri"/>
          <w:iCs/>
          <w:sz w:val="24"/>
          <w:szCs w:val="24"/>
        </w:rPr>
        <w:t>le</w:t>
      </w:r>
      <w:proofErr w:type="gramEnd"/>
      <w:r w:rsidRPr="006270A1">
        <w:rPr>
          <w:rFonts w:cs="Calibri"/>
          <w:iCs/>
          <w:sz w:val="24"/>
          <w:szCs w:val="24"/>
        </w:rPr>
        <w:t xml:space="preserve"> décret 2006</w:t>
      </w:r>
      <w:r w:rsidR="002D1034" w:rsidRPr="006270A1">
        <w:rPr>
          <w:rFonts w:cs="Calibri"/>
          <w:iCs/>
          <w:sz w:val="24"/>
          <w:szCs w:val="24"/>
        </w:rPr>
        <w:t>-</w:t>
      </w:r>
      <w:r w:rsidRPr="006270A1">
        <w:rPr>
          <w:rFonts w:cs="Calibri"/>
          <w:iCs/>
          <w:sz w:val="24"/>
          <w:szCs w:val="24"/>
        </w:rPr>
        <w:t xml:space="preserve">779 du 3 juillet 2006 portant attribution de la NBI à certains personnels de la </w:t>
      </w:r>
      <w:r w:rsidR="009753FD" w:rsidRPr="006270A1">
        <w:rPr>
          <w:rFonts w:cs="Calibri"/>
          <w:sz w:val="24"/>
          <w:szCs w:val="24"/>
        </w:rPr>
        <w:t>Fonction Publique Territoriale,</w:t>
      </w:r>
    </w:p>
    <w:p w14:paraId="4EE880AE" w14:textId="0512037C" w:rsidR="005C212C" w:rsidRPr="006270A1" w:rsidRDefault="00912EA7" w:rsidP="006270A1">
      <w:pPr>
        <w:pStyle w:val="Titre1"/>
        <w:numPr>
          <w:ilvl w:val="0"/>
          <w:numId w:val="3"/>
        </w:numPr>
        <w:shd w:val="clear" w:color="auto" w:fill="FFFFFF"/>
        <w:tabs>
          <w:tab w:val="left" w:pos="284"/>
        </w:tabs>
        <w:spacing w:before="0" w:after="0" w:line="180" w:lineRule="atLeast"/>
        <w:ind w:left="0" w:hanging="142"/>
        <w:jc w:val="both"/>
        <w:rPr>
          <w:rFonts w:ascii="Garamond" w:hAnsi="Garamond" w:cs="Calibri"/>
          <w:b w:val="0"/>
          <w:bCs w:val="0"/>
          <w:iCs/>
          <w:sz w:val="24"/>
          <w:szCs w:val="24"/>
          <w:u w:val="none"/>
        </w:rPr>
      </w:pPr>
      <w:proofErr w:type="gramStart"/>
      <w:r w:rsidRPr="006270A1">
        <w:rPr>
          <w:rFonts w:ascii="Garamond" w:hAnsi="Garamond" w:cs="Calibri"/>
          <w:b w:val="0"/>
          <w:bCs w:val="0"/>
          <w:iCs/>
          <w:sz w:val="24"/>
          <w:szCs w:val="24"/>
          <w:u w:val="none"/>
        </w:rPr>
        <w:t>le</w:t>
      </w:r>
      <w:proofErr w:type="gramEnd"/>
      <w:r w:rsidRPr="006270A1">
        <w:rPr>
          <w:rFonts w:ascii="Garamond" w:hAnsi="Garamond" w:cs="Calibri"/>
          <w:b w:val="0"/>
          <w:bCs w:val="0"/>
          <w:iCs/>
          <w:sz w:val="24"/>
          <w:szCs w:val="24"/>
          <w:u w:val="none"/>
        </w:rPr>
        <w:t xml:space="preserve"> décret 2022-281 du 28 février 2022</w:t>
      </w:r>
      <w:r w:rsidR="005C212C" w:rsidRPr="006270A1">
        <w:rPr>
          <w:rFonts w:ascii="Garamond" w:hAnsi="Garamond" w:cs="Calibri"/>
          <w:b w:val="0"/>
          <w:bCs w:val="0"/>
          <w:iCs/>
          <w:sz w:val="24"/>
          <w:szCs w:val="24"/>
          <w:u w:val="none"/>
        </w:rPr>
        <w:t xml:space="preserve"> r</w:t>
      </w:r>
      <w:r w:rsidRPr="006270A1">
        <w:rPr>
          <w:rFonts w:ascii="Garamond" w:hAnsi="Garamond" w:cs="Calibri"/>
          <w:b w:val="0"/>
          <w:bCs w:val="0"/>
          <w:iCs/>
          <w:sz w:val="24"/>
          <w:szCs w:val="24"/>
          <w:u w:val="none"/>
        </w:rPr>
        <w:t>elatif à la nouvelle bonification indiciaire des secrétaires de mairie des communes de moins de 2 000 habitants</w:t>
      </w:r>
      <w:r w:rsidR="005C212C" w:rsidRPr="006270A1">
        <w:rPr>
          <w:rFonts w:ascii="Garamond" w:hAnsi="Garamond" w:cs="Calibri"/>
          <w:b w:val="0"/>
          <w:bCs w:val="0"/>
          <w:iCs/>
          <w:sz w:val="24"/>
          <w:szCs w:val="24"/>
          <w:u w:val="none"/>
        </w:rPr>
        <w:t xml:space="preserve"> qui porte à 30 points la NBI au titre du secrétariat de mairie de communes de moins de 2000 habitants, </w:t>
      </w:r>
    </w:p>
    <w:p w14:paraId="489D6961" w14:textId="77777777" w:rsidR="002D1034" w:rsidRPr="006270A1" w:rsidRDefault="00AB673C" w:rsidP="005C212C">
      <w:pPr>
        <w:pStyle w:val="VuConsidrant"/>
        <w:spacing w:after="200" w:line="276" w:lineRule="auto"/>
        <w:rPr>
          <w:rFonts w:ascii="Garamond" w:hAnsi="Garamond" w:cs="Calibri"/>
          <w:iCs/>
          <w:sz w:val="24"/>
          <w:szCs w:val="24"/>
        </w:rPr>
      </w:pPr>
      <w:r w:rsidRPr="006270A1">
        <w:rPr>
          <w:rFonts w:ascii="Garamond" w:hAnsi="Garamond" w:cs="Calibri"/>
          <w:iCs/>
          <w:sz w:val="24"/>
          <w:szCs w:val="24"/>
        </w:rPr>
        <w:t>Considérant que l’intéressé</w:t>
      </w:r>
      <w:r w:rsidR="009753FD" w:rsidRPr="006270A1">
        <w:rPr>
          <w:rFonts w:ascii="Garamond" w:hAnsi="Garamond" w:cs="Calibri"/>
          <w:iCs/>
          <w:sz w:val="24"/>
          <w:szCs w:val="24"/>
        </w:rPr>
        <w:t>(e)</w:t>
      </w:r>
      <w:r w:rsidRPr="006270A1">
        <w:rPr>
          <w:rFonts w:ascii="Garamond" w:hAnsi="Garamond" w:cs="Calibri"/>
          <w:iCs/>
          <w:sz w:val="24"/>
          <w:szCs w:val="24"/>
        </w:rPr>
        <w:t xml:space="preserve"> exerce les fonctions </w:t>
      </w:r>
      <w:r w:rsidR="002D1034" w:rsidRPr="006270A1">
        <w:rPr>
          <w:rFonts w:ascii="Garamond" w:hAnsi="Garamond" w:cs="Calibri"/>
          <w:iCs/>
          <w:sz w:val="24"/>
          <w:szCs w:val="24"/>
        </w:rPr>
        <w:t>dans un secrétariat de mairie de communes de moins de 2000 habitants</w:t>
      </w:r>
      <w:r w:rsidR="005C212C" w:rsidRPr="006270A1">
        <w:rPr>
          <w:rFonts w:ascii="Garamond" w:hAnsi="Garamond" w:cs="Calibri"/>
          <w:iCs/>
          <w:sz w:val="24"/>
          <w:szCs w:val="24"/>
        </w:rPr>
        <w:t>,</w:t>
      </w:r>
    </w:p>
    <w:p w14:paraId="59E083BB" w14:textId="77777777" w:rsidR="00AB673C" w:rsidRPr="006270A1" w:rsidRDefault="00AB673C" w:rsidP="00912EA7">
      <w:pPr>
        <w:spacing w:after="100"/>
        <w:jc w:val="center"/>
        <w:rPr>
          <w:rFonts w:cs="Calibri"/>
          <w:b/>
          <w:bCs/>
          <w:sz w:val="24"/>
          <w:szCs w:val="24"/>
        </w:rPr>
      </w:pPr>
      <w:r w:rsidRPr="006270A1">
        <w:rPr>
          <w:rFonts w:cs="Calibri"/>
          <w:b/>
          <w:bCs/>
          <w:sz w:val="24"/>
          <w:szCs w:val="24"/>
        </w:rPr>
        <w:t>ARRÊTE</w:t>
      </w:r>
    </w:p>
    <w:p w14:paraId="152A8071" w14:textId="77777777" w:rsidR="00912EA7" w:rsidRPr="006270A1" w:rsidRDefault="00912EA7" w:rsidP="00912EA7">
      <w:pPr>
        <w:spacing w:after="100"/>
        <w:jc w:val="center"/>
        <w:rPr>
          <w:rFonts w:cs="Calibri"/>
          <w:sz w:val="24"/>
          <w:szCs w:val="24"/>
        </w:rPr>
      </w:pPr>
    </w:p>
    <w:p w14:paraId="1A8E2AEC" w14:textId="77777777" w:rsidR="00AB673C" w:rsidRPr="006270A1" w:rsidRDefault="00FD2D85" w:rsidP="00065BD0">
      <w:pPr>
        <w:ind w:right="-1"/>
        <w:jc w:val="both"/>
        <w:rPr>
          <w:rFonts w:cs="Calibri"/>
          <w:b/>
          <w:bCs/>
          <w:sz w:val="24"/>
          <w:szCs w:val="24"/>
          <w:u w:val="single"/>
        </w:rPr>
      </w:pPr>
      <w:r w:rsidRPr="006270A1">
        <w:rPr>
          <w:rFonts w:cs="Calibri"/>
          <w:b/>
          <w:bCs/>
          <w:sz w:val="24"/>
          <w:szCs w:val="24"/>
          <w:u w:val="single"/>
        </w:rPr>
        <w:t>Article 1</w:t>
      </w:r>
    </w:p>
    <w:p w14:paraId="5B11583B" w14:textId="77777777" w:rsidR="00AB673C" w:rsidRPr="006270A1" w:rsidRDefault="00EF129E" w:rsidP="00065BD0">
      <w:pPr>
        <w:pStyle w:val="Normalcentr"/>
        <w:ind w:left="0" w:right="-1"/>
        <w:rPr>
          <w:rFonts w:ascii="Garamond" w:hAnsi="Garamond" w:cs="Calibri"/>
          <w:sz w:val="24"/>
          <w:szCs w:val="24"/>
        </w:rPr>
      </w:pPr>
      <w:r w:rsidRPr="006270A1">
        <w:rPr>
          <w:rFonts w:ascii="Garamond" w:hAnsi="Garamond" w:cs="Calibri"/>
          <w:sz w:val="24"/>
          <w:szCs w:val="24"/>
        </w:rPr>
        <w:t>A compter du …</w:t>
      </w:r>
      <w:proofErr w:type="gramStart"/>
      <w:r w:rsidRPr="006270A1">
        <w:rPr>
          <w:rFonts w:ascii="Garamond" w:hAnsi="Garamond" w:cs="Calibri"/>
          <w:sz w:val="24"/>
          <w:szCs w:val="24"/>
        </w:rPr>
        <w:t>…….</w:t>
      </w:r>
      <w:proofErr w:type="gramEnd"/>
      <w:r w:rsidRPr="006270A1">
        <w:rPr>
          <w:rFonts w:ascii="Garamond" w:hAnsi="Garamond" w:cs="Calibri"/>
          <w:sz w:val="24"/>
          <w:szCs w:val="24"/>
        </w:rPr>
        <w:t>.</w:t>
      </w:r>
      <w:r w:rsidR="005C212C" w:rsidRPr="006270A1">
        <w:rPr>
          <w:rStyle w:val="Appeldenotedefin"/>
          <w:rFonts w:ascii="Garamond" w:hAnsi="Garamond" w:cs="Calibri"/>
          <w:b/>
          <w:bCs/>
          <w:color w:val="FF0000"/>
          <w:sz w:val="24"/>
          <w:szCs w:val="24"/>
        </w:rPr>
        <w:endnoteReference w:id="1"/>
      </w:r>
      <w:r w:rsidRPr="006270A1">
        <w:rPr>
          <w:rFonts w:ascii="Garamond" w:hAnsi="Garamond" w:cs="Calibri"/>
          <w:sz w:val="24"/>
          <w:szCs w:val="24"/>
        </w:rPr>
        <w:t xml:space="preserve">, </w:t>
      </w:r>
      <w:proofErr w:type="spellStart"/>
      <w:proofErr w:type="gramStart"/>
      <w:r w:rsidRPr="006270A1">
        <w:rPr>
          <w:rFonts w:ascii="Garamond" w:hAnsi="Garamond" w:cs="Calibri"/>
          <w:sz w:val="24"/>
          <w:szCs w:val="24"/>
        </w:rPr>
        <w:t>M.Mme</w:t>
      </w:r>
      <w:proofErr w:type="spellEnd"/>
      <w:proofErr w:type="gramEnd"/>
      <w:r w:rsidRPr="006270A1">
        <w:rPr>
          <w:rFonts w:ascii="Garamond" w:hAnsi="Garamond" w:cs="Calibri"/>
          <w:sz w:val="24"/>
          <w:szCs w:val="24"/>
        </w:rPr>
        <w:t xml:space="preserve"> ………</w:t>
      </w:r>
      <w:proofErr w:type="gramStart"/>
      <w:r w:rsidRPr="006270A1">
        <w:rPr>
          <w:rFonts w:ascii="Garamond" w:hAnsi="Garamond" w:cs="Calibri"/>
          <w:sz w:val="24"/>
          <w:szCs w:val="24"/>
        </w:rPr>
        <w:t>…….</w:t>
      </w:r>
      <w:proofErr w:type="gramEnd"/>
      <w:r w:rsidRPr="006270A1">
        <w:rPr>
          <w:rFonts w:ascii="Garamond" w:hAnsi="Garamond" w:cs="Calibri"/>
          <w:sz w:val="24"/>
          <w:szCs w:val="24"/>
        </w:rPr>
        <w:t xml:space="preserve">. </w:t>
      </w:r>
      <w:proofErr w:type="gramStart"/>
      <w:r w:rsidRPr="006270A1">
        <w:rPr>
          <w:rFonts w:ascii="Garamond" w:hAnsi="Garamond" w:cs="Calibri"/>
          <w:sz w:val="24"/>
          <w:szCs w:val="24"/>
        </w:rPr>
        <w:t>bénéficie</w:t>
      </w:r>
      <w:proofErr w:type="gramEnd"/>
      <w:r w:rsidRPr="006270A1">
        <w:rPr>
          <w:rFonts w:ascii="Garamond" w:hAnsi="Garamond" w:cs="Calibri"/>
          <w:sz w:val="24"/>
          <w:szCs w:val="24"/>
        </w:rPr>
        <w:t xml:space="preserve"> d’une N</w:t>
      </w:r>
      <w:r w:rsidR="00AB673C" w:rsidRPr="006270A1">
        <w:rPr>
          <w:rFonts w:ascii="Garamond" w:hAnsi="Garamond" w:cs="Calibri"/>
          <w:sz w:val="24"/>
          <w:szCs w:val="24"/>
        </w:rPr>
        <w:t xml:space="preserve">ouvelle Bonification Indiciaire de </w:t>
      </w:r>
      <w:r w:rsidR="002D1034" w:rsidRPr="006270A1">
        <w:rPr>
          <w:rFonts w:ascii="Garamond" w:hAnsi="Garamond" w:cs="Calibri"/>
          <w:sz w:val="24"/>
          <w:szCs w:val="24"/>
        </w:rPr>
        <w:t>30</w:t>
      </w:r>
      <w:r w:rsidR="00AB673C" w:rsidRPr="006270A1">
        <w:rPr>
          <w:rFonts w:ascii="Garamond" w:hAnsi="Garamond" w:cs="Calibri"/>
          <w:sz w:val="24"/>
          <w:szCs w:val="24"/>
        </w:rPr>
        <w:t xml:space="preserve"> points</w:t>
      </w:r>
      <w:r w:rsidR="00065BD0" w:rsidRPr="006270A1">
        <w:rPr>
          <w:rFonts w:ascii="Garamond" w:hAnsi="Garamond" w:cs="Calibri"/>
          <w:sz w:val="24"/>
          <w:szCs w:val="24"/>
        </w:rPr>
        <w:t xml:space="preserve"> d’indice majorés.</w:t>
      </w:r>
    </w:p>
    <w:p w14:paraId="4372A7A0" w14:textId="77777777" w:rsidR="00AB673C" w:rsidRPr="006270A1" w:rsidRDefault="003A5C5D" w:rsidP="003A5C5D">
      <w:pPr>
        <w:ind w:right="-1"/>
        <w:jc w:val="both"/>
        <w:rPr>
          <w:rFonts w:cs="Calibri"/>
          <w:i/>
          <w:iCs/>
          <w:sz w:val="24"/>
          <w:szCs w:val="24"/>
        </w:rPr>
      </w:pPr>
      <w:r w:rsidRPr="006270A1">
        <w:rPr>
          <w:rFonts w:cs="Calibri"/>
          <w:i/>
          <w:iCs/>
          <w:color w:val="FF0000"/>
          <w:sz w:val="24"/>
          <w:szCs w:val="24"/>
        </w:rPr>
        <w:t>(</w:t>
      </w:r>
      <w:r w:rsidR="00AB673C" w:rsidRPr="006270A1">
        <w:rPr>
          <w:rFonts w:cs="Calibri"/>
          <w:i/>
          <w:iCs/>
          <w:color w:val="FF0000"/>
          <w:sz w:val="24"/>
          <w:szCs w:val="24"/>
        </w:rPr>
        <w:t>Le cas échéant</w:t>
      </w:r>
      <w:r w:rsidRPr="006270A1">
        <w:rPr>
          <w:rFonts w:cs="Calibri"/>
          <w:i/>
          <w:iCs/>
          <w:color w:val="FF0000"/>
          <w:sz w:val="24"/>
          <w:szCs w:val="24"/>
        </w:rPr>
        <w:t>)</w:t>
      </w:r>
      <w:r w:rsidRPr="006270A1">
        <w:rPr>
          <w:rFonts w:cs="Calibri"/>
          <w:b/>
          <w:bCs/>
          <w:i/>
          <w:iCs/>
          <w:color w:val="FF0000"/>
          <w:sz w:val="24"/>
          <w:szCs w:val="24"/>
        </w:rPr>
        <w:t xml:space="preserve"> </w:t>
      </w:r>
      <w:r w:rsidR="00AB673C" w:rsidRPr="006270A1">
        <w:rPr>
          <w:rFonts w:cs="Calibri"/>
          <w:i/>
          <w:iCs/>
          <w:sz w:val="24"/>
          <w:szCs w:val="24"/>
        </w:rPr>
        <w:t>Le calcul obtenu, correspondant à la N.B.I attribuable à un agent occupant un emploi à temps non complet, est pro</w:t>
      </w:r>
      <w:r w:rsidR="00065BD0" w:rsidRPr="006270A1">
        <w:rPr>
          <w:rFonts w:cs="Calibri"/>
          <w:i/>
          <w:iCs/>
          <w:sz w:val="24"/>
          <w:szCs w:val="24"/>
        </w:rPr>
        <w:t>ratisé selon le taux d’activité.</w:t>
      </w:r>
    </w:p>
    <w:p w14:paraId="209576F3" w14:textId="77777777" w:rsidR="00AB673C" w:rsidRPr="006270A1" w:rsidRDefault="00AB673C" w:rsidP="00065BD0">
      <w:pPr>
        <w:ind w:right="-1"/>
        <w:jc w:val="both"/>
        <w:rPr>
          <w:rFonts w:cs="Calibri"/>
          <w:sz w:val="24"/>
          <w:szCs w:val="24"/>
          <w:highlight w:val="yellow"/>
        </w:rPr>
      </w:pPr>
    </w:p>
    <w:p w14:paraId="2101093E" w14:textId="77777777" w:rsidR="00AB673C" w:rsidRPr="006270A1" w:rsidRDefault="00FD2D85" w:rsidP="00065BD0">
      <w:pPr>
        <w:ind w:right="-1"/>
        <w:jc w:val="both"/>
        <w:rPr>
          <w:rFonts w:cs="Calibri"/>
          <w:b/>
          <w:bCs/>
          <w:sz w:val="24"/>
          <w:szCs w:val="24"/>
          <w:u w:val="single"/>
        </w:rPr>
      </w:pPr>
      <w:r w:rsidRPr="006270A1">
        <w:rPr>
          <w:rFonts w:cs="Calibri"/>
          <w:b/>
          <w:bCs/>
          <w:sz w:val="24"/>
          <w:szCs w:val="24"/>
          <w:u w:val="single"/>
        </w:rPr>
        <w:t>Article 2</w:t>
      </w:r>
    </w:p>
    <w:p w14:paraId="3FCC5582" w14:textId="77777777" w:rsidR="00AB673C" w:rsidRPr="006270A1" w:rsidRDefault="00AB673C" w:rsidP="00065BD0">
      <w:pPr>
        <w:ind w:right="-1"/>
        <w:jc w:val="both"/>
        <w:rPr>
          <w:rFonts w:cs="Calibri"/>
          <w:sz w:val="24"/>
          <w:szCs w:val="24"/>
        </w:rPr>
      </w:pPr>
      <w:r w:rsidRPr="006270A1">
        <w:rPr>
          <w:rFonts w:cs="Calibri"/>
          <w:sz w:val="24"/>
          <w:szCs w:val="24"/>
        </w:rPr>
        <w:t>Ladite Bonification Indiciaire est versée à l’intéressé(e) mensuellement.</w:t>
      </w:r>
    </w:p>
    <w:p w14:paraId="1CF928BB" w14:textId="77777777" w:rsidR="00065BD0" w:rsidRPr="006270A1" w:rsidRDefault="00065BD0" w:rsidP="00065BD0">
      <w:pPr>
        <w:ind w:right="-1"/>
        <w:jc w:val="both"/>
        <w:rPr>
          <w:rFonts w:cs="Calibri"/>
          <w:sz w:val="24"/>
          <w:szCs w:val="24"/>
        </w:rPr>
      </w:pPr>
    </w:p>
    <w:p w14:paraId="1D9C52DF" w14:textId="77777777" w:rsidR="00065BD0" w:rsidRPr="006270A1" w:rsidRDefault="00065BD0" w:rsidP="00065BD0">
      <w:pPr>
        <w:ind w:right="-1"/>
        <w:jc w:val="both"/>
        <w:rPr>
          <w:rFonts w:cs="Calibri"/>
          <w:b/>
          <w:sz w:val="24"/>
          <w:szCs w:val="24"/>
          <w:u w:val="single"/>
        </w:rPr>
      </w:pPr>
      <w:r w:rsidRPr="006270A1">
        <w:rPr>
          <w:rFonts w:cs="Calibri"/>
          <w:b/>
          <w:sz w:val="24"/>
          <w:szCs w:val="24"/>
          <w:u w:val="single"/>
        </w:rPr>
        <w:t>Article 3</w:t>
      </w:r>
    </w:p>
    <w:p w14:paraId="1123ECB0" w14:textId="77777777" w:rsidR="00065BD0" w:rsidRPr="006270A1" w:rsidRDefault="00065BD0" w:rsidP="00065BD0">
      <w:pPr>
        <w:ind w:right="-1"/>
        <w:jc w:val="both"/>
        <w:rPr>
          <w:rFonts w:cs="Calibri"/>
          <w:sz w:val="24"/>
          <w:szCs w:val="24"/>
        </w:rPr>
      </w:pPr>
      <w:r w:rsidRPr="006270A1">
        <w:rPr>
          <w:rFonts w:cs="Calibri"/>
          <w:sz w:val="24"/>
          <w:szCs w:val="24"/>
        </w:rPr>
        <w:t>La nouvelle bonification indiciaire cessera d’être versée lorsque le</w:t>
      </w:r>
      <w:r w:rsidR="00F66454" w:rsidRPr="006270A1">
        <w:rPr>
          <w:rFonts w:cs="Calibri"/>
          <w:sz w:val="24"/>
          <w:szCs w:val="24"/>
        </w:rPr>
        <w:t xml:space="preserve"> fonctionnaire quittera les fonctions exercées,</w:t>
      </w:r>
      <w:r w:rsidRPr="006270A1">
        <w:rPr>
          <w:rFonts w:cs="Calibri"/>
          <w:sz w:val="24"/>
          <w:szCs w:val="24"/>
        </w:rPr>
        <w:t xml:space="preserve"> au titre duquel il la percevait.</w:t>
      </w:r>
    </w:p>
    <w:p w14:paraId="2A3BCDD7" w14:textId="77777777" w:rsidR="00AB673C" w:rsidRPr="006270A1" w:rsidRDefault="00AB673C" w:rsidP="00065BD0">
      <w:pPr>
        <w:ind w:right="-1"/>
        <w:jc w:val="both"/>
        <w:rPr>
          <w:rFonts w:cs="Calibri"/>
          <w:sz w:val="24"/>
          <w:szCs w:val="24"/>
          <w:highlight w:val="yellow"/>
        </w:rPr>
      </w:pPr>
    </w:p>
    <w:p w14:paraId="7C145BCB" w14:textId="77777777" w:rsidR="006270A1" w:rsidRPr="006270A1" w:rsidRDefault="006270A1" w:rsidP="006270A1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6270A1">
        <w:rPr>
          <w:rFonts w:eastAsia="Times New Roman" w:cs="Times New Roman"/>
          <w:b/>
          <w:bCs/>
          <w:sz w:val="24"/>
          <w:szCs w:val="24"/>
        </w:rPr>
        <w:t>Article 2 :</w:t>
      </w:r>
    </w:p>
    <w:p w14:paraId="3412739C" w14:textId="77777777" w:rsidR="006270A1" w:rsidRPr="006270A1" w:rsidRDefault="006270A1" w:rsidP="006270A1">
      <w:pPr>
        <w:jc w:val="both"/>
        <w:rPr>
          <w:rFonts w:eastAsia="Times New Roman" w:cs="Times New Roman"/>
          <w:bCs/>
          <w:sz w:val="24"/>
          <w:szCs w:val="24"/>
        </w:rPr>
      </w:pPr>
      <w:r w:rsidRPr="006270A1">
        <w:rPr>
          <w:rFonts w:eastAsia="Times New Roman" w:cs="Times New Roman"/>
          <w:bCs/>
          <w:sz w:val="24"/>
          <w:szCs w:val="24"/>
        </w:rPr>
        <w:t>Le présent arrêté sera notifié à l’intéressé(e). Ampliation sera adressée au comptable de la collectivité et à Monsieur le Président du Centre de Gestion.</w:t>
      </w:r>
    </w:p>
    <w:p w14:paraId="42E9E63D" w14:textId="77777777" w:rsidR="006270A1" w:rsidRPr="006270A1" w:rsidRDefault="006270A1" w:rsidP="006270A1">
      <w:pPr>
        <w:jc w:val="both"/>
        <w:rPr>
          <w:rFonts w:eastAsia="Times New Roman" w:cs="Times New Roman"/>
          <w:bCs/>
          <w:sz w:val="24"/>
          <w:szCs w:val="24"/>
        </w:rPr>
      </w:pPr>
    </w:p>
    <w:p w14:paraId="22327F57" w14:textId="07307EFB" w:rsidR="006270A1" w:rsidRPr="006270A1" w:rsidRDefault="006270A1" w:rsidP="006270A1">
      <w:pPr>
        <w:tabs>
          <w:tab w:val="left" w:pos="567"/>
        </w:tabs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……</w:t>
      </w:r>
      <w:r w:rsidRPr="006270A1">
        <w:rPr>
          <w:rFonts w:eastAsia="Times New Roman" w:cs="Times New Roman"/>
          <w:bCs/>
          <w:sz w:val="24"/>
          <w:szCs w:val="24"/>
        </w:rPr>
        <w:t xml:space="preserve">, le </w:t>
      </w:r>
      <w:r w:rsidRPr="006270A1">
        <w:rPr>
          <w:rFonts w:eastAsia="Times New Roman" w:cs="Times New Roman"/>
          <w:bCs/>
          <w:sz w:val="24"/>
          <w:szCs w:val="24"/>
        </w:rPr>
        <w:tab/>
      </w:r>
      <w:r w:rsidRPr="006270A1">
        <w:rPr>
          <w:rFonts w:eastAsia="Times New Roman" w:cs="Times New Roman"/>
          <w:bCs/>
          <w:sz w:val="24"/>
          <w:szCs w:val="24"/>
        </w:rPr>
        <w:tab/>
      </w:r>
      <w:r w:rsidRPr="006270A1">
        <w:rPr>
          <w:rFonts w:eastAsia="Times New Roman" w:cs="Times New Roman"/>
          <w:bCs/>
          <w:sz w:val="24"/>
          <w:szCs w:val="24"/>
        </w:rPr>
        <w:tab/>
      </w:r>
      <w:r w:rsidRPr="006270A1">
        <w:rPr>
          <w:rFonts w:eastAsia="Times New Roman" w:cs="Times New Roman"/>
          <w:bCs/>
          <w:sz w:val="24"/>
          <w:szCs w:val="24"/>
        </w:rPr>
        <w:tab/>
      </w:r>
      <w:r w:rsidRPr="006270A1">
        <w:rPr>
          <w:rFonts w:eastAsia="Times New Roman" w:cs="Times New Roman"/>
          <w:bCs/>
          <w:sz w:val="24"/>
          <w:szCs w:val="24"/>
        </w:rPr>
        <w:tab/>
      </w:r>
      <w:r w:rsidRPr="006270A1">
        <w:rPr>
          <w:rFonts w:eastAsia="Times New Roman" w:cs="Times New Roman"/>
          <w:bCs/>
          <w:sz w:val="24"/>
          <w:szCs w:val="24"/>
        </w:rPr>
        <w:tab/>
      </w:r>
      <w:r w:rsidRPr="006270A1">
        <w:rPr>
          <w:rFonts w:eastAsia="Times New Roman" w:cs="Times New Roman"/>
          <w:bCs/>
          <w:sz w:val="24"/>
          <w:szCs w:val="24"/>
        </w:rPr>
        <w:tab/>
      </w:r>
      <w:r w:rsidRPr="006270A1">
        <w:rPr>
          <w:rFonts w:eastAsia="Times New Roman" w:cs="Times New Roman"/>
          <w:b/>
          <w:bCs/>
          <w:sz w:val="24"/>
          <w:szCs w:val="24"/>
        </w:rPr>
        <w:t>CERTIFIE EXECUTOIRE</w:t>
      </w:r>
    </w:p>
    <w:p w14:paraId="064BE388" w14:textId="355A42D8" w:rsidR="006270A1" w:rsidRPr="006270A1" w:rsidRDefault="006270A1" w:rsidP="006270A1">
      <w:pPr>
        <w:keepNext/>
        <w:rPr>
          <w:rFonts w:eastAsia="Times New Roman" w:cs="Arial"/>
          <w:i/>
          <w:iCs/>
          <w:sz w:val="24"/>
          <w:szCs w:val="24"/>
        </w:rPr>
      </w:pPr>
      <w:r w:rsidRPr="006270A1">
        <w:rPr>
          <w:rFonts w:eastAsia="Times New Roman" w:cs="Arial"/>
          <w:i/>
          <w:iCs/>
          <w:sz w:val="24"/>
          <w:szCs w:val="24"/>
        </w:rPr>
        <w:t xml:space="preserve">Le </w:t>
      </w:r>
      <w:r w:rsidRPr="006270A1">
        <w:rPr>
          <w:rFonts w:eastAsia="Times New Roman" w:cs="Arial"/>
          <w:i/>
          <w:iCs/>
          <w:sz w:val="24"/>
          <w:szCs w:val="24"/>
        </w:rPr>
        <w:t>Maire, le Président,</w:t>
      </w:r>
    </w:p>
    <w:p w14:paraId="2864915B" w14:textId="77777777" w:rsidR="006270A1" w:rsidRPr="006270A1" w:rsidRDefault="006270A1" w:rsidP="006270A1">
      <w:pPr>
        <w:tabs>
          <w:tab w:val="left" w:pos="6300"/>
        </w:tabs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35290555" w14:textId="77777777" w:rsidR="006270A1" w:rsidRPr="006270A1" w:rsidRDefault="006270A1" w:rsidP="006270A1">
      <w:pPr>
        <w:tabs>
          <w:tab w:val="left" w:pos="6300"/>
        </w:tabs>
        <w:jc w:val="both"/>
        <w:rPr>
          <w:rFonts w:eastAsia="Times New Roman" w:cs="Times New Roman"/>
          <w:bCs/>
          <w:sz w:val="24"/>
          <w:szCs w:val="24"/>
        </w:rPr>
      </w:pPr>
      <w:r w:rsidRPr="006270A1">
        <w:rPr>
          <w:rFonts w:eastAsia="Times New Roman" w:cs="Times New Roman"/>
          <w:bCs/>
          <w:sz w:val="24"/>
          <w:szCs w:val="24"/>
        </w:rPr>
        <w:tab/>
      </w:r>
      <w:r w:rsidRPr="006270A1">
        <w:rPr>
          <w:rFonts w:eastAsia="Times New Roman" w:cs="Times New Roman"/>
          <w:bCs/>
          <w:sz w:val="24"/>
          <w:szCs w:val="24"/>
        </w:rPr>
        <w:tab/>
        <w:t>Notifié le</w:t>
      </w:r>
    </w:p>
    <w:p w14:paraId="01BE6D57" w14:textId="77777777" w:rsidR="006270A1" w:rsidRDefault="006270A1" w:rsidP="006270A1">
      <w:pPr>
        <w:tabs>
          <w:tab w:val="left" w:pos="6300"/>
        </w:tabs>
        <w:jc w:val="both"/>
        <w:rPr>
          <w:rFonts w:eastAsia="Times New Roman" w:cs="Times New Roman"/>
          <w:bCs/>
          <w:sz w:val="24"/>
          <w:szCs w:val="24"/>
        </w:rPr>
      </w:pPr>
      <w:r w:rsidRPr="006270A1">
        <w:rPr>
          <w:rFonts w:eastAsia="Times New Roman" w:cs="Times New Roman"/>
          <w:bCs/>
          <w:sz w:val="24"/>
          <w:szCs w:val="24"/>
        </w:rPr>
        <w:tab/>
        <w:t>(Signature de l’agent)</w:t>
      </w:r>
    </w:p>
    <w:p w14:paraId="05382260" w14:textId="77777777" w:rsidR="006270A1" w:rsidRPr="006270A1" w:rsidRDefault="006270A1" w:rsidP="006270A1">
      <w:pPr>
        <w:tabs>
          <w:tab w:val="left" w:pos="6300"/>
        </w:tabs>
        <w:jc w:val="both"/>
        <w:rPr>
          <w:rFonts w:eastAsia="Times New Roman" w:cs="Times New Roman"/>
          <w:bCs/>
          <w:sz w:val="24"/>
          <w:szCs w:val="24"/>
        </w:rPr>
      </w:pPr>
    </w:p>
    <w:p w14:paraId="017565D2" w14:textId="77777777" w:rsidR="006270A1" w:rsidRPr="006270A1" w:rsidRDefault="006270A1" w:rsidP="006270A1">
      <w:pPr>
        <w:tabs>
          <w:tab w:val="left" w:pos="6300"/>
        </w:tabs>
        <w:jc w:val="both"/>
        <w:rPr>
          <w:rFonts w:eastAsia="Times New Roman" w:cs="Times New Roman"/>
          <w:bCs/>
          <w:sz w:val="20"/>
          <w:szCs w:val="20"/>
        </w:rPr>
      </w:pPr>
    </w:p>
    <w:p w14:paraId="0FCFDA26" w14:textId="77777777" w:rsidR="006270A1" w:rsidRPr="006270A1" w:rsidRDefault="006270A1" w:rsidP="006270A1">
      <w:pPr>
        <w:keepNext/>
        <w:rPr>
          <w:rFonts w:eastAsia="Times New Roman" w:cs="Arial"/>
          <w:sz w:val="20"/>
          <w:szCs w:val="20"/>
        </w:rPr>
      </w:pPr>
      <w:r w:rsidRPr="006270A1">
        <w:rPr>
          <w:rFonts w:eastAsia="Times New Roman" w:cs="Times New Roman"/>
          <w:bCs/>
          <w:i/>
          <w:sz w:val="20"/>
          <w:szCs w:val="20"/>
        </w:rPr>
        <w:t xml:space="preserve">Conformément aux dispositions du décret n° 65-29 du 11 janvier 1965 modifié, le </w:t>
      </w:r>
      <w:r w:rsidRPr="006270A1">
        <w:rPr>
          <w:rFonts w:eastAsia="Times New Roman" w:cs="Arial"/>
          <w:i/>
          <w:iCs/>
          <w:sz w:val="20"/>
          <w:szCs w:val="20"/>
        </w:rPr>
        <w:t>Président</w:t>
      </w:r>
      <w:r w:rsidRPr="006270A1">
        <w:rPr>
          <w:rFonts w:ascii="Arial" w:eastAsia="Times New Roman" w:hAnsi="Arial" w:cs="Arial"/>
          <w:sz w:val="20"/>
          <w:szCs w:val="20"/>
        </w:rPr>
        <w:t xml:space="preserve"> </w:t>
      </w:r>
      <w:r w:rsidRPr="006270A1">
        <w:rPr>
          <w:rFonts w:eastAsia="Times New Roman" w:cs="Times New Roman"/>
          <w:bCs/>
          <w:i/>
          <w:sz w:val="20"/>
          <w:szCs w:val="20"/>
        </w:rPr>
        <w:t>certifie sous son autorité le caractère exécutoire de cet acte et informe l’intéressé(e) qu’il(elle) dispose d’un délai de deux mois à compter de la notification pour le contester devant le Tribunal Administratif de BESANCON.</w:t>
      </w:r>
    </w:p>
    <w:p w14:paraId="33F09866" w14:textId="77777777" w:rsidR="006270A1" w:rsidRPr="006270A1" w:rsidRDefault="006270A1" w:rsidP="006270A1">
      <w:pPr>
        <w:tabs>
          <w:tab w:val="left" w:pos="0"/>
        </w:tabs>
        <w:rPr>
          <w:rFonts w:ascii="Arial" w:eastAsia="Times New Roman" w:hAnsi="Arial" w:cs="Arial"/>
          <w:sz w:val="20"/>
          <w:szCs w:val="20"/>
        </w:rPr>
      </w:pPr>
    </w:p>
    <w:p w14:paraId="03D60C02" w14:textId="01823ABF" w:rsidR="005C212C" w:rsidRPr="005C212C" w:rsidRDefault="005C212C" w:rsidP="006270A1">
      <w:pPr>
        <w:ind w:right="-1"/>
        <w:jc w:val="both"/>
        <w:rPr>
          <w:color w:val="FF0000"/>
        </w:rPr>
      </w:pPr>
    </w:p>
    <w:sectPr w:rsidR="005C212C" w:rsidRPr="005C212C" w:rsidSect="0079781B">
      <w:pgSz w:w="11906" w:h="16838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8DAC" w14:textId="77777777" w:rsidR="003615E6" w:rsidRDefault="003615E6" w:rsidP="005C212C">
      <w:r>
        <w:separator/>
      </w:r>
    </w:p>
  </w:endnote>
  <w:endnote w:type="continuationSeparator" w:id="0">
    <w:p w14:paraId="69A5139B" w14:textId="77777777" w:rsidR="003615E6" w:rsidRDefault="003615E6" w:rsidP="005C212C">
      <w:r>
        <w:continuationSeparator/>
      </w:r>
    </w:p>
  </w:endnote>
  <w:endnote w:id="1">
    <w:p w14:paraId="345B8B37" w14:textId="77777777" w:rsidR="005B26BE" w:rsidRDefault="005B26BE" w:rsidP="005C212C">
      <w:pPr>
        <w:pStyle w:val="Notedefi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F081" w14:textId="77777777" w:rsidR="003615E6" w:rsidRDefault="003615E6" w:rsidP="005C212C">
      <w:r>
        <w:separator/>
      </w:r>
    </w:p>
  </w:footnote>
  <w:footnote w:type="continuationSeparator" w:id="0">
    <w:p w14:paraId="20D45FF0" w14:textId="77777777" w:rsidR="003615E6" w:rsidRDefault="003615E6" w:rsidP="005C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132F"/>
    <w:multiLevelType w:val="hybridMultilevel"/>
    <w:tmpl w:val="6CBCD8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D07A1"/>
    <w:multiLevelType w:val="multilevel"/>
    <w:tmpl w:val="FFFFFFFF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2494391"/>
    <w:multiLevelType w:val="hybridMultilevel"/>
    <w:tmpl w:val="FFFFFFFF"/>
    <w:lvl w:ilvl="0" w:tplc="3E34E656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 w16cid:durableId="180046118">
    <w:abstractNumId w:val="1"/>
  </w:num>
  <w:num w:numId="2" w16cid:durableId="1747025386">
    <w:abstractNumId w:val="2"/>
  </w:num>
  <w:num w:numId="3" w16cid:durableId="6536841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1B"/>
    <w:rsid w:val="00047A0E"/>
    <w:rsid w:val="0005644D"/>
    <w:rsid w:val="00065BD0"/>
    <w:rsid w:val="000D35D9"/>
    <w:rsid w:val="002C2D0B"/>
    <w:rsid w:val="002D1034"/>
    <w:rsid w:val="002E61F6"/>
    <w:rsid w:val="003615E6"/>
    <w:rsid w:val="003A5C5D"/>
    <w:rsid w:val="00442622"/>
    <w:rsid w:val="0045139E"/>
    <w:rsid w:val="005B26BE"/>
    <w:rsid w:val="005C212C"/>
    <w:rsid w:val="006270A1"/>
    <w:rsid w:val="006865AC"/>
    <w:rsid w:val="00724021"/>
    <w:rsid w:val="0079781B"/>
    <w:rsid w:val="007D43C0"/>
    <w:rsid w:val="00830981"/>
    <w:rsid w:val="0090445A"/>
    <w:rsid w:val="00912EA7"/>
    <w:rsid w:val="009753FD"/>
    <w:rsid w:val="00AB673C"/>
    <w:rsid w:val="00B7259D"/>
    <w:rsid w:val="00DC0998"/>
    <w:rsid w:val="00DF2D25"/>
    <w:rsid w:val="00E10B60"/>
    <w:rsid w:val="00ED6EA8"/>
    <w:rsid w:val="00EF129E"/>
    <w:rsid w:val="00F03151"/>
    <w:rsid w:val="00F66454"/>
    <w:rsid w:val="00FC1DBD"/>
    <w:rsid w:val="00F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1C0A1"/>
  <w14:defaultImageDpi w14:val="0"/>
  <w15:docId w15:val="{A004DEEA-7F53-4701-9EA5-878E0913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Garamond" w:hAnsi="Garamond" w:cs="Garamond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numPr>
        <w:numId w:val="1"/>
      </w:numPr>
      <w:spacing w:before="120" w:after="120"/>
      <w:jc w:val="center"/>
      <w:outlineLvl w:val="0"/>
    </w:pPr>
    <w:rPr>
      <w:rFonts w:ascii="Maiandra GD" w:hAnsi="Maiandra GD" w:cs="Maiandra GD"/>
      <w:b/>
      <w:bCs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Maiandra GD" w:hAnsi="Maiandra GD" w:cs="Maiandra GD"/>
    </w:rPr>
  </w:style>
  <w:style w:type="paragraph" w:styleId="Titre6">
    <w:name w:val="heading 6"/>
    <w:basedOn w:val="Normal"/>
    <w:next w:val="Normal"/>
    <w:link w:val="Titre6Car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Maiandra GD" w:hAnsi="Maiandra GD" w:cs="Maiandra GD"/>
      <w:b/>
      <w:bCs/>
      <w:u w:val="single"/>
    </w:rPr>
  </w:style>
  <w:style w:type="character" w:customStyle="1" w:styleId="Titre2Car">
    <w:name w:val="Titre 2 Car"/>
    <w:basedOn w:val="Policepardfaut"/>
    <w:link w:val="Titre2"/>
    <w:uiPriority w:val="99"/>
    <w:locked/>
    <w:rPr>
      <w:rFonts w:ascii="Arial" w:hAnsi="Arial" w:cs="Arial"/>
      <w:b/>
      <w:bCs/>
      <w:i/>
      <w:i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Pr>
      <w:rFonts w:ascii="Arial" w:hAnsi="Arial" w:cs="Arial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locked/>
    <w:rPr>
      <w:rFonts w:ascii="Arial" w:hAnsi="Arial" w:cs="Arial"/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locked/>
    <w:rPr>
      <w:rFonts w:ascii="Maiandra GD" w:hAnsi="Maiandra GD" w:cs="Maiandra GD"/>
    </w:rPr>
  </w:style>
  <w:style w:type="character" w:customStyle="1" w:styleId="Titre6Car">
    <w:name w:val="Titre 6 Car"/>
    <w:basedOn w:val="Policepardfaut"/>
    <w:link w:val="Titre6"/>
    <w:uiPriority w:val="99"/>
    <w:locked/>
    <w:rPr>
      <w:rFonts w:ascii="Garamond" w:hAnsi="Garamond" w:cs="Garamond"/>
      <w:i/>
      <w:iCs/>
    </w:rPr>
  </w:style>
  <w:style w:type="character" w:customStyle="1" w:styleId="Titre7Car">
    <w:name w:val="Titre 7 Car"/>
    <w:basedOn w:val="Policepardfaut"/>
    <w:link w:val="Titre7"/>
    <w:uiPriority w:val="99"/>
    <w:locked/>
    <w:rPr>
      <w:rFonts w:ascii="Arial" w:hAnsi="Arial" w:cs="Arial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9"/>
    <w:locked/>
    <w:rPr>
      <w:rFonts w:ascii="Arial" w:hAnsi="Arial" w:cs="Arial"/>
      <w:i/>
      <w:iCs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locked/>
    <w:rPr>
      <w:rFonts w:ascii="Arial" w:hAnsi="Arial" w:cs="Arial"/>
      <w:b/>
      <w:bCs/>
      <w:i/>
      <w:iCs/>
      <w:sz w:val="18"/>
      <w:szCs w:val="18"/>
    </w:rPr>
  </w:style>
  <w:style w:type="paragraph" w:styleId="Normalcentr">
    <w:name w:val="Block Text"/>
    <w:basedOn w:val="Normal"/>
    <w:uiPriority w:val="99"/>
    <w:pPr>
      <w:ind w:left="995" w:right="396"/>
      <w:jc w:val="both"/>
    </w:pPr>
    <w:rPr>
      <w:rFonts w:ascii="Maiandra GD" w:hAnsi="Maiandra GD" w:cs="Maiandra GD"/>
    </w:rPr>
  </w:style>
  <w:style w:type="paragraph" w:styleId="Explorateurdedocuments">
    <w:name w:val="Document Map"/>
    <w:basedOn w:val="Normal"/>
    <w:link w:val="Explorateurdedocuments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Garamond" w:hAnsi="Garamond" w:cs="Garamond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Garamond" w:hAnsi="Garamond" w:cs="Garamond"/>
    </w:rPr>
  </w:style>
  <w:style w:type="paragraph" w:styleId="Index1">
    <w:name w:val="index 1"/>
    <w:basedOn w:val="Normal"/>
    <w:next w:val="Normal"/>
    <w:autoRedefine/>
    <w:uiPriority w:val="99"/>
    <w:pPr>
      <w:jc w:val="both"/>
    </w:pPr>
    <w:rPr>
      <w:b/>
      <w:bCs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pPr>
      <w:ind w:left="1980" w:hanging="220"/>
    </w:pPr>
  </w:style>
  <w:style w:type="paragraph" w:styleId="Titreindex">
    <w:name w:val="index heading"/>
    <w:basedOn w:val="Normal"/>
    <w:next w:val="Index1"/>
    <w:uiPriority w:val="99"/>
  </w:style>
  <w:style w:type="character" w:styleId="Marquedecommentaire">
    <w:name w:val="annotation reference"/>
    <w:basedOn w:val="Policepardfaut"/>
    <w:uiPriority w:val="9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ascii="Garamond" w:hAnsi="Garamond" w:cs="Garamond"/>
      <w:sz w:val="20"/>
      <w:szCs w:val="20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pPr>
      <w:jc w:val="both"/>
    </w:pPr>
    <w:rPr>
      <w:i/>
      <w:iCs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Garamond" w:hAnsi="Garamond" w:cs="Garamond"/>
    </w:rPr>
  </w:style>
  <w:style w:type="paragraph" w:styleId="Corpsdetexte">
    <w:name w:val="Body Text"/>
    <w:basedOn w:val="Normal"/>
    <w:link w:val="CorpsdetexteCar"/>
    <w:uiPriority w:val="99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Garamond" w:hAnsi="Garamond" w:cs="Garamond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b/>
      <w:bCs/>
      <w:smallCaps/>
      <w:sz w:val="28"/>
      <w:szCs w:val="2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ascii="Garamond" w:hAnsi="Garamond" w:cs="Garamond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pPr>
      <w:ind w:left="284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ascii="Garamond" w:hAnsi="Garamond" w:cs="Garamond"/>
    </w:rPr>
  </w:style>
  <w:style w:type="paragraph" w:styleId="Retraitcorpsdetexte3">
    <w:name w:val="Body Text Indent 3"/>
    <w:basedOn w:val="Normal"/>
    <w:link w:val="Retraitcorpsdetexte3Car"/>
    <w:uiPriority w:val="99"/>
    <w:pPr>
      <w:spacing w:before="120" w:line="220" w:lineRule="exact"/>
      <w:ind w:left="284"/>
      <w:jc w:val="both"/>
    </w:pPr>
    <w:rPr>
      <w:color w:val="000080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ascii="Garamond" w:hAnsi="Garamond" w:cs="Garamond"/>
      <w:sz w:val="16"/>
      <w:szCs w:val="16"/>
    </w:rPr>
  </w:style>
  <w:style w:type="paragraph" w:styleId="Lgende">
    <w:name w:val="caption"/>
    <w:basedOn w:val="Normal"/>
    <w:next w:val="Normal"/>
    <w:uiPriority w:val="99"/>
    <w:qFormat/>
    <w:pPr>
      <w:spacing w:before="240" w:after="120"/>
      <w:ind w:right="6"/>
    </w:pPr>
    <w:rPr>
      <w:rFonts w:ascii="Arial" w:hAnsi="Arial" w:cs="Arial"/>
      <w:b/>
      <w:bCs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VuConsidrant">
    <w:name w:val="Vu.Considérant"/>
    <w:basedOn w:val="Normal"/>
    <w:rsid w:val="002D1034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C212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5C212C"/>
    <w:rPr>
      <w:rFonts w:ascii="Garamond" w:hAnsi="Garamond" w:cs="Garamond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C212C"/>
    <w:rPr>
      <w:rFonts w:cs="Times New Roman"/>
      <w:vertAlign w:val="superscript"/>
    </w:rPr>
  </w:style>
  <w:style w:type="paragraph" w:styleId="Paragraphedeliste">
    <w:name w:val="List Paragraph"/>
    <w:basedOn w:val="Normal"/>
    <w:uiPriority w:val="34"/>
    <w:qFormat/>
    <w:rsid w:val="00627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2AC56B774B447992F9B3EDB7D5866" ma:contentTypeVersion="10" ma:contentTypeDescription="Crée un document." ma:contentTypeScope="" ma:versionID="5e51f3241e58852dadd755a1577dab58">
  <xsd:schema xmlns:xsd="http://www.w3.org/2001/XMLSchema" xmlns:xs="http://www.w3.org/2001/XMLSchema" xmlns:p="http://schemas.microsoft.com/office/2006/metadata/properties" xmlns:ns2="18a8ae28-6f19-44b8-9d7a-2ad186b9fcd8" xmlns:ns3="84a4aef4-6389-434e-8a65-df6ac8b357d6" targetNamespace="http://schemas.microsoft.com/office/2006/metadata/properties" ma:root="true" ma:fieldsID="9e2b5428af9ff767518f691f17125587" ns2:_="" ns3:_="">
    <xsd:import namespace="18a8ae28-6f19-44b8-9d7a-2ad186b9fcd8"/>
    <xsd:import namespace="84a4aef4-6389-434e-8a65-df6ac8b35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8ae28-6f19-44b8-9d7a-2ad186b9f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bc8fea84-28d4-4d23-ae59-6f2be9a973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aef4-6389-434e-8a65-df6ac8b357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222002-f89d-44b0-94cd-acefa6506f71}" ma:internalName="TaxCatchAll" ma:showField="CatchAllData" ma:web="84a4aef4-6389-434e-8a65-df6ac8b35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4aef4-6389-434e-8a65-df6ac8b357d6" xsi:nil="true"/>
    <lcf76f155ced4ddcb4097134ff3c332f xmlns="18a8ae28-6f19-44b8-9d7a-2ad186b9fc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76FF0A-E91F-462E-8FDE-D6A9337B4E26}"/>
</file>

<file path=customXml/itemProps2.xml><?xml version="1.0" encoding="utf-8"?>
<ds:datastoreItem xmlns:ds="http://schemas.openxmlformats.org/officeDocument/2006/customXml" ds:itemID="{CD7625FF-A1F1-4776-97CF-FBE30051D48D}"/>
</file>

<file path=customXml/itemProps3.xml><?xml version="1.0" encoding="utf-8"?>
<ds:datastoreItem xmlns:ds="http://schemas.openxmlformats.org/officeDocument/2006/customXml" ds:itemID="{593D6E21-6638-4170-822C-8A152AD879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1817</Characters>
  <Application>Microsoft Office Word</Application>
  <DocSecurity>0</DocSecurity>
  <Lines>15</Lines>
  <Paragraphs>4</Paragraphs>
  <ScaleCrop>false</ScaleCrop>
  <Company>CDG77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CDG77</dc:creator>
  <cp:keywords>du décret travail un et</cp:keywords>
  <dc:description>de l'organisation de la durée du temps de travail : « lorsque l'objet même du service public en cause l'exige en permanence, notamment pour la protection des biens et des personnes ».dddArt.3 dL'article 3 II a) du décret 2000-815 envisage les possibilités</dc:description>
  <cp:lastModifiedBy>Isabelle VILLARD</cp:lastModifiedBy>
  <cp:revision>2</cp:revision>
  <cp:lastPrinted>2006-08-09T12:00:00Z</cp:lastPrinted>
  <dcterms:created xsi:type="dcterms:W3CDTF">2025-12-12T09:52:00Z</dcterms:created>
  <dcterms:modified xsi:type="dcterms:W3CDTF">2025-12-12T09:52:00Z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0x0101007AC2AC56B774B447992F9B3EDB7D5866</vt:lpwstr>
  </property>
</Properties>
</file>